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A2315" w:rsidRPr="004A2315" w:rsidRDefault="004A2315" w:rsidP="004A2315">
      <w:pPr>
        <w:jc w:val="both"/>
        <w:rPr>
          <w:b/>
          <w:snapToGrid/>
          <w:sz w:val="28"/>
          <w:szCs w:val="28"/>
        </w:rPr>
      </w:pPr>
      <w:bookmarkStart w:id="0" w:name="_GoBack"/>
      <w:r w:rsidRPr="004A2315">
        <w:rPr>
          <w:b/>
          <w:snapToGrid/>
          <w:sz w:val="28"/>
          <w:szCs w:val="28"/>
        </w:rPr>
        <w:t>Избежать ошибок в уведомлениях об исчисленных суммах налогов поможет проверка установленных контрольных соотношений</w:t>
      </w:r>
    </w:p>
    <w:bookmarkEnd w:id="0"/>
    <w:p w:rsidR="00AD425E" w:rsidRPr="00AD425E" w:rsidRDefault="00AD425E" w:rsidP="00AD425E">
      <w:pPr>
        <w:jc w:val="both"/>
        <w:rPr>
          <w:b/>
          <w:snapToGrid/>
          <w:sz w:val="28"/>
          <w:szCs w:val="28"/>
        </w:rPr>
      </w:pPr>
    </w:p>
    <w:p w:rsidR="004A2315" w:rsidRPr="004A2315" w:rsidRDefault="004A2315" w:rsidP="004A2315">
      <w:pPr>
        <w:jc w:val="both"/>
        <w:rPr>
          <w:snapToGrid/>
          <w:sz w:val="28"/>
          <w:szCs w:val="28"/>
        </w:rPr>
      </w:pPr>
      <w:r w:rsidRPr="004A2315">
        <w:rPr>
          <w:snapToGrid/>
          <w:sz w:val="28"/>
          <w:szCs w:val="28"/>
        </w:rPr>
        <w:t>Уведомление об исчисленных суммах налогов, авансовых платежей по налогам, сборов, страховых взносов (уведомление) предоставляется налогоплательщиками для распределения ЕНП по платежам с авансовой системой расчетов. Во избежание некорректного сальдо единого налогового счета и отказов налогового органа принять документ важно правильно его заполнить. В этом помогут разработанные налоговой службой </w:t>
      </w:r>
      <w:hyperlink r:id="rId6" w:tgtFrame="_blank" w:history="1">
        <w:r w:rsidRPr="004A2315">
          <w:rPr>
            <w:rStyle w:val="a3"/>
            <w:snapToGrid/>
            <w:sz w:val="28"/>
            <w:szCs w:val="28"/>
          </w:rPr>
          <w:t>контрольные соотношения</w:t>
        </w:r>
      </w:hyperlink>
      <w:r w:rsidRPr="004A2315">
        <w:rPr>
          <w:snapToGrid/>
          <w:sz w:val="28"/>
          <w:szCs w:val="28"/>
        </w:rPr>
        <w:t>.</w:t>
      </w:r>
    </w:p>
    <w:p w:rsidR="004A2315" w:rsidRPr="004A2315" w:rsidRDefault="004A2315" w:rsidP="004A2315">
      <w:pPr>
        <w:jc w:val="both"/>
        <w:rPr>
          <w:snapToGrid/>
          <w:sz w:val="28"/>
          <w:szCs w:val="28"/>
        </w:rPr>
      </w:pPr>
    </w:p>
    <w:p w:rsidR="004A2315" w:rsidRPr="004A2315" w:rsidRDefault="004A2315" w:rsidP="004A2315">
      <w:pPr>
        <w:jc w:val="both"/>
        <w:rPr>
          <w:snapToGrid/>
          <w:sz w:val="28"/>
          <w:szCs w:val="28"/>
        </w:rPr>
      </w:pPr>
      <w:r w:rsidRPr="004A2315">
        <w:rPr>
          <w:snapToGrid/>
          <w:sz w:val="28"/>
          <w:szCs w:val="28"/>
        </w:rPr>
        <w:t>Перед направлением отчета необходимо обратить внимание на сообщения об уточнении, которые налогоплательщик получает в ответ на неверно представленное уведомление, и внести необходимые корректировки. Несвоевременное представление может привести к образованию задолженности и последующему начислению пени. Юридические лица и индивидуальные предприниматели подают уведомления по НДФЛ, страховым взносам, имущественным налогам юридических лиц, упрощенной системе налогообложения, единому сельскохозяйственному налогу. Представлять нулевое уведомление, в случае если в налоговом периоде выплаты не производились, не требуется.</w:t>
      </w:r>
    </w:p>
    <w:p w:rsidR="004A2315" w:rsidRPr="004A2315" w:rsidRDefault="004A2315" w:rsidP="004A2315">
      <w:pPr>
        <w:jc w:val="both"/>
        <w:rPr>
          <w:snapToGrid/>
          <w:sz w:val="28"/>
          <w:szCs w:val="28"/>
        </w:rPr>
      </w:pPr>
    </w:p>
    <w:p w:rsidR="004A2315" w:rsidRPr="004A2315" w:rsidRDefault="004A2315" w:rsidP="004A2315">
      <w:pPr>
        <w:jc w:val="both"/>
        <w:rPr>
          <w:snapToGrid/>
          <w:sz w:val="28"/>
          <w:szCs w:val="28"/>
        </w:rPr>
      </w:pPr>
      <w:r w:rsidRPr="004A2315">
        <w:rPr>
          <w:snapToGrid/>
          <w:sz w:val="28"/>
          <w:szCs w:val="28"/>
        </w:rPr>
        <w:t>Формировать и отправлять документы удобнее через учетную (бухгалтерскую) систему или </w:t>
      </w:r>
      <w:hyperlink r:id="rId7" w:tgtFrame="_blank" w:history="1">
        <w:r w:rsidRPr="004A2315">
          <w:rPr>
            <w:rStyle w:val="a3"/>
            <w:snapToGrid/>
            <w:sz w:val="28"/>
            <w:szCs w:val="28"/>
          </w:rPr>
          <w:t>Личный кабинет налогоплательщика</w:t>
        </w:r>
      </w:hyperlink>
      <w:r w:rsidRPr="004A2315">
        <w:rPr>
          <w:snapToGrid/>
          <w:sz w:val="28"/>
          <w:szCs w:val="28"/>
        </w:rPr>
        <w:t>. При этом в случае отправки из </w:t>
      </w:r>
      <w:hyperlink r:id="rId8" w:anchor="/login" w:tgtFrame="_blank" w:history="1">
        <w:r w:rsidRPr="004A2315">
          <w:rPr>
            <w:rStyle w:val="a3"/>
            <w:snapToGrid/>
            <w:sz w:val="28"/>
            <w:szCs w:val="28"/>
          </w:rPr>
          <w:t>Личного кабинета индивидуального предпринимателя</w:t>
        </w:r>
      </w:hyperlink>
      <w:r w:rsidRPr="004A2315">
        <w:rPr>
          <w:snapToGrid/>
          <w:sz w:val="28"/>
          <w:szCs w:val="28"/>
        </w:rPr>
        <w:t> предусмотрена возможность использования неквалифицированной электронной подписи, сгенерированной в разделе «Настройки профиля» - «Электронная подпись». С </w:t>
      </w:r>
      <w:hyperlink r:id="rId9" w:anchor="block10ancor" w:tgtFrame="_blank" w:history="1">
        <w:r w:rsidRPr="004A2315">
          <w:rPr>
            <w:rStyle w:val="a3"/>
            <w:snapToGrid/>
            <w:sz w:val="28"/>
            <w:szCs w:val="28"/>
          </w:rPr>
          <w:t>примерами заполнения уведомлений</w:t>
        </w:r>
      </w:hyperlink>
      <w:r w:rsidRPr="004A2315">
        <w:rPr>
          <w:snapToGrid/>
          <w:sz w:val="28"/>
          <w:szCs w:val="28"/>
        </w:rPr>
        <w:t xml:space="preserve"> можно ознакомиться на </w:t>
      </w:r>
      <w:proofErr w:type="spellStart"/>
      <w:r w:rsidRPr="004A2315">
        <w:rPr>
          <w:snapToGrid/>
          <w:sz w:val="28"/>
          <w:szCs w:val="28"/>
        </w:rPr>
        <w:t>промостранице</w:t>
      </w:r>
      <w:proofErr w:type="spellEnd"/>
      <w:r w:rsidRPr="004A2315">
        <w:rPr>
          <w:snapToGrid/>
          <w:sz w:val="28"/>
          <w:szCs w:val="28"/>
        </w:rPr>
        <w:t xml:space="preserve"> «Единый налоговый счёт».</w:t>
      </w:r>
    </w:p>
    <w:p w:rsidR="00020455" w:rsidRPr="00AD425E" w:rsidRDefault="00020455" w:rsidP="00B77F07">
      <w:pPr>
        <w:jc w:val="both"/>
        <w:rPr>
          <w:sz w:val="24"/>
          <w:szCs w:val="24"/>
        </w:rPr>
      </w:pPr>
    </w:p>
    <w:sectPr w:rsidR="00020455" w:rsidRPr="00AD425E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4A2315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AD425E"/>
    <w:rsid w:val="00B1604D"/>
    <w:rsid w:val="00B619B0"/>
    <w:rsid w:val="00B77F07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ip2.nalog.ru/l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ul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9374/?ysclid=lsjxwurb6i9003897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38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2024-06-10T09:47:00Z</dcterms:created>
  <dcterms:modified xsi:type="dcterms:W3CDTF">2024-06-10T09:47:00Z</dcterms:modified>
</cp:coreProperties>
</file>