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6A4377" w:rsidRPr="006A4377" w:rsidRDefault="006A4377" w:rsidP="006A4377">
      <w:pPr>
        <w:jc w:val="both"/>
        <w:rPr>
          <w:b/>
          <w:snapToGrid/>
          <w:sz w:val="28"/>
          <w:szCs w:val="28"/>
        </w:rPr>
      </w:pPr>
      <w:bookmarkStart w:id="0" w:name="_GoBack"/>
      <w:r w:rsidRPr="006A4377">
        <w:rPr>
          <w:b/>
          <w:snapToGrid/>
          <w:sz w:val="28"/>
          <w:szCs w:val="28"/>
        </w:rPr>
        <w:t>Представить отчет по зарубежным счетам и иностранным электронным кошелькам физлицам необходимо до 3 июня</w:t>
      </w:r>
    </w:p>
    <w:bookmarkEnd w:id="0"/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6A4377" w:rsidRPr="006A4377" w:rsidRDefault="006A4377" w:rsidP="006A4377">
      <w:pPr>
        <w:shd w:val="clear" w:color="auto" w:fill="FFFFFF"/>
        <w:contextualSpacing/>
        <w:jc w:val="both"/>
        <w:rPr>
          <w:sz w:val="28"/>
          <w:szCs w:val="28"/>
        </w:rPr>
      </w:pPr>
      <w:r w:rsidRPr="006A4377">
        <w:rPr>
          <w:sz w:val="28"/>
          <w:szCs w:val="28"/>
        </w:rPr>
        <w:t>3 июня для физических лиц – резидентов истекает срок представления налоговым органам отчетов за 2023 год о движении денежных средств и других финансовых активов по зарубежным счетам, а также по иностранным электронным кошелькам.</w:t>
      </w:r>
    </w:p>
    <w:p w:rsidR="006A4377" w:rsidRPr="006A4377" w:rsidRDefault="006A4377" w:rsidP="006A4377">
      <w:pPr>
        <w:shd w:val="clear" w:color="auto" w:fill="FFFFFF"/>
        <w:contextualSpacing/>
        <w:jc w:val="both"/>
        <w:rPr>
          <w:sz w:val="28"/>
          <w:szCs w:val="28"/>
        </w:rPr>
      </w:pPr>
    </w:p>
    <w:p w:rsidR="006A4377" w:rsidRPr="006A4377" w:rsidRDefault="006A4377" w:rsidP="006A4377">
      <w:pPr>
        <w:shd w:val="clear" w:color="auto" w:fill="FFFFFF"/>
        <w:contextualSpacing/>
        <w:jc w:val="both"/>
        <w:rPr>
          <w:sz w:val="28"/>
          <w:szCs w:val="28"/>
        </w:rPr>
      </w:pPr>
      <w:r w:rsidRPr="006A4377">
        <w:rPr>
          <w:sz w:val="28"/>
          <w:szCs w:val="28"/>
        </w:rPr>
        <w:t>Резиденты обязаны представлять отчеты ежегодно до 1 июня года, следующего за отчетным годом. Поскольку 1 и 2 июня в этом году выходные дни, то предельный срок представления отчетов переносится на ближайший рабочий день – 3 июня.</w:t>
      </w:r>
    </w:p>
    <w:p w:rsidR="006A4377" w:rsidRPr="006A4377" w:rsidRDefault="006A4377" w:rsidP="006A4377">
      <w:pPr>
        <w:shd w:val="clear" w:color="auto" w:fill="FFFFFF"/>
        <w:contextualSpacing/>
        <w:jc w:val="both"/>
        <w:rPr>
          <w:sz w:val="28"/>
          <w:szCs w:val="28"/>
        </w:rPr>
      </w:pPr>
    </w:p>
    <w:p w:rsidR="006A4377" w:rsidRPr="006A4377" w:rsidRDefault="006A4377" w:rsidP="006A4377">
      <w:pPr>
        <w:shd w:val="clear" w:color="auto" w:fill="FFFFFF"/>
        <w:contextualSpacing/>
        <w:jc w:val="both"/>
        <w:rPr>
          <w:sz w:val="28"/>
          <w:szCs w:val="28"/>
        </w:rPr>
      </w:pPr>
      <w:r w:rsidRPr="006A4377">
        <w:rPr>
          <w:sz w:val="28"/>
          <w:szCs w:val="28"/>
        </w:rPr>
        <w:t>Отчеты представляются по правилам и форме, утверждённым постановлением Правительства РФ от 12.12.2015 №1365.</w:t>
      </w:r>
    </w:p>
    <w:p w:rsidR="006A4377" w:rsidRPr="006A4377" w:rsidRDefault="006A4377" w:rsidP="006A4377">
      <w:pPr>
        <w:shd w:val="clear" w:color="auto" w:fill="FFFFFF"/>
        <w:contextualSpacing/>
        <w:jc w:val="both"/>
        <w:rPr>
          <w:sz w:val="28"/>
          <w:szCs w:val="28"/>
        </w:rPr>
      </w:pPr>
    </w:p>
    <w:p w:rsidR="006A4377" w:rsidRPr="006A4377" w:rsidRDefault="006A4377" w:rsidP="006A4377">
      <w:pPr>
        <w:shd w:val="clear" w:color="auto" w:fill="FFFFFF"/>
        <w:contextualSpacing/>
        <w:jc w:val="both"/>
        <w:rPr>
          <w:sz w:val="28"/>
          <w:szCs w:val="28"/>
        </w:rPr>
      </w:pPr>
      <w:r w:rsidRPr="006A4377">
        <w:rPr>
          <w:sz w:val="28"/>
          <w:szCs w:val="28"/>
        </w:rPr>
        <w:t>Форма отчета размещена также на сайте ФНС России в разделе «Валютный контроль».</w:t>
      </w:r>
    </w:p>
    <w:p w:rsidR="006A4377" w:rsidRPr="006A4377" w:rsidRDefault="006A4377" w:rsidP="006A4377">
      <w:pPr>
        <w:shd w:val="clear" w:color="auto" w:fill="FFFFFF"/>
        <w:contextualSpacing/>
        <w:jc w:val="both"/>
        <w:rPr>
          <w:sz w:val="28"/>
          <w:szCs w:val="28"/>
        </w:rPr>
      </w:pPr>
    </w:p>
    <w:p w:rsidR="006A4377" w:rsidRPr="006A4377" w:rsidRDefault="006A4377" w:rsidP="006A4377">
      <w:pPr>
        <w:shd w:val="clear" w:color="auto" w:fill="FFFFFF"/>
        <w:contextualSpacing/>
        <w:jc w:val="both"/>
        <w:rPr>
          <w:sz w:val="28"/>
          <w:szCs w:val="28"/>
        </w:rPr>
      </w:pPr>
      <w:r w:rsidRPr="006A4377">
        <w:rPr>
          <w:sz w:val="28"/>
          <w:szCs w:val="28"/>
        </w:rPr>
        <w:t>Отчет может быть представлен в электронной форме через личный кабинет налогоплательщика, в электронной форме по телекоммуникационным каналам связи через оператора электронного документооборота, а также на бумаге лично, через представителя, на имя которого оформлена соответствующая доверенность, либо заказным почтовым отправлением с уведомлением о вручении.</w:t>
      </w:r>
    </w:p>
    <w:p w:rsidR="006A4377" w:rsidRPr="006A4377" w:rsidRDefault="006A4377" w:rsidP="006A4377">
      <w:pPr>
        <w:shd w:val="clear" w:color="auto" w:fill="FFFFFF"/>
        <w:contextualSpacing/>
        <w:jc w:val="both"/>
        <w:rPr>
          <w:sz w:val="28"/>
          <w:szCs w:val="28"/>
        </w:rPr>
      </w:pPr>
    </w:p>
    <w:p w:rsidR="006A4377" w:rsidRPr="006A4377" w:rsidRDefault="006A4377" w:rsidP="006A4377">
      <w:pPr>
        <w:shd w:val="clear" w:color="auto" w:fill="FFFFFF"/>
        <w:contextualSpacing/>
        <w:jc w:val="both"/>
        <w:rPr>
          <w:sz w:val="28"/>
          <w:szCs w:val="28"/>
        </w:rPr>
      </w:pPr>
      <w:r w:rsidRPr="006A4377">
        <w:rPr>
          <w:sz w:val="28"/>
          <w:szCs w:val="28"/>
        </w:rPr>
        <w:t>Лицам, которые в 2023 году проживали за рубежом в совокупности более 183 дней, представлять отчеты за 2023 год не требуется.</w:t>
      </w:r>
    </w:p>
    <w:p w:rsidR="006A4377" w:rsidRPr="006A4377" w:rsidRDefault="006A4377" w:rsidP="006A4377">
      <w:pPr>
        <w:shd w:val="clear" w:color="auto" w:fill="FFFFFF"/>
        <w:contextualSpacing/>
        <w:jc w:val="both"/>
        <w:rPr>
          <w:sz w:val="28"/>
          <w:szCs w:val="28"/>
        </w:rPr>
      </w:pPr>
    </w:p>
    <w:p w:rsidR="006A4377" w:rsidRPr="006A4377" w:rsidRDefault="006A4377" w:rsidP="006A4377">
      <w:pPr>
        <w:shd w:val="clear" w:color="auto" w:fill="FFFFFF"/>
        <w:contextualSpacing/>
        <w:jc w:val="both"/>
        <w:rPr>
          <w:sz w:val="28"/>
          <w:szCs w:val="28"/>
        </w:rPr>
      </w:pPr>
      <w:r w:rsidRPr="006A4377">
        <w:rPr>
          <w:sz w:val="28"/>
          <w:szCs w:val="28"/>
        </w:rPr>
        <w:t>Также не требуется представлять отчеты по зарубежным счетам, открытым на территории ЕАЭС или в странах, участвующих в автоматическом обмене финансовой информацией, и когда зачисление или списание по счету или остаток денежных средств по состоянию на конец отчетного года не превышают 600 тыс. рублей соответственно (эквивалентную сумму в иностранной валюте).</w:t>
      </w:r>
    </w:p>
    <w:p w:rsidR="006A4377" w:rsidRPr="006A4377" w:rsidRDefault="006A4377" w:rsidP="006A4377">
      <w:pPr>
        <w:shd w:val="clear" w:color="auto" w:fill="FFFFFF"/>
        <w:contextualSpacing/>
        <w:jc w:val="both"/>
        <w:rPr>
          <w:sz w:val="28"/>
          <w:szCs w:val="28"/>
        </w:rPr>
      </w:pPr>
    </w:p>
    <w:p w:rsidR="00020455" w:rsidRDefault="006A4377" w:rsidP="006A4377">
      <w:pPr>
        <w:shd w:val="clear" w:color="auto" w:fill="FFFFFF"/>
        <w:contextualSpacing/>
        <w:jc w:val="both"/>
        <w:rPr>
          <w:sz w:val="24"/>
          <w:szCs w:val="24"/>
        </w:rPr>
      </w:pPr>
      <w:r w:rsidRPr="006A4377">
        <w:rPr>
          <w:sz w:val="28"/>
          <w:szCs w:val="28"/>
        </w:rPr>
        <w:t>Отчеты по иностранным электронным кошелькам не представляются, если общая сумма зачисленных на них средств за отчетный год не превышает сумму, эквивалентную 600 тыс. рублей.</w:t>
      </w: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B2AE0"/>
    <w:rsid w:val="00BB4D12"/>
    <w:rsid w:val="00CC216D"/>
    <w:rsid w:val="00DB4C4A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2024-05-03T06:21:00Z</cp:lastPrinted>
  <dcterms:created xsi:type="dcterms:W3CDTF">2024-05-20T07:37:00Z</dcterms:created>
  <dcterms:modified xsi:type="dcterms:W3CDTF">2024-05-20T07:37:00Z</dcterms:modified>
</cp:coreProperties>
</file>